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31D" w:rsidRPr="00F5631D" w:rsidRDefault="00F5631D" w:rsidP="00F5631D">
      <w:pPr>
        <w:spacing w:line="480" w:lineRule="auto"/>
        <w:rPr>
          <w:rFonts w:ascii="Times New Roman" w:hAnsi="Times New Roman" w:cs="Times New Roman"/>
          <w:b/>
          <w:sz w:val="24"/>
          <w:szCs w:val="24"/>
        </w:rPr>
      </w:pPr>
    </w:p>
    <w:p w:rsidR="00F5631D" w:rsidRPr="00F5631D" w:rsidRDefault="00F5631D" w:rsidP="00F5631D">
      <w:pPr>
        <w:spacing w:line="480" w:lineRule="auto"/>
        <w:rPr>
          <w:rFonts w:ascii="Times New Roman" w:hAnsi="Times New Roman" w:cs="Times New Roman"/>
          <w:b/>
          <w:sz w:val="24"/>
          <w:szCs w:val="24"/>
        </w:rPr>
      </w:pPr>
    </w:p>
    <w:p w:rsidR="00F5631D" w:rsidRPr="00F5631D" w:rsidRDefault="00F5631D" w:rsidP="00F5631D">
      <w:pPr>
        <w:spacing w:line="480" w:lineRule="auto"/>
        <w:rPr>
          <w:rFonts w:ascii="Times New Roman" w:hAnsi="Times New Roman" w:cs="Times New Roman"/>
          <w:b/>
          <w:sz w:val="24"/>
          <w:szCs w:val="24"/>
        </w:rPr>
      </w:pPr>
    </w:p>
    <w:p w:rsidR="00F5631D" w:rsidRPr="00F5631D" w:rsidRDefault="00F5631D" w:rsidP="00F5631D">
      <w:pPr>
        <w:spacing w:line="480" w:lineRule="auto"/>
        <w:jc w:val="center"/>
        <w:rPr>
          <w:rFonts w:ascii="Times New Roman" w:hAnsi="Times New Roman" w:cs="Times New Roman"/>
          <w:sz w:val="24"/>
          <w:szCs w:val="24"/>
        </w:rPr>
      </w:pPr>
    </w:p>
    <w:p w:rsidR="00F5631D" w:rsidRPr="00F5631D" w:rsidRDefault="00F5631D" w:rsidP="00F5631D">
      <w:pPr>
        <w:spacing w:line="480" w:lineRule="auto"/>
        <w:jc w:val="center"/>
        <w:rPr>
          <w:rFonts w:ascii="Times New Roman" w:hAnsi="Times New Roman" w:cs="Times New Roman"/>
          <w:sz w:val="24"/>
          <w:szCs w:val="24"/>
        </w:rPr>
      </w:pPr>
    </w:p>
    <w:p w:rsidR="00F5631D" w:rsidRPr="00F5631D" w:rsidRDefault="00F5631D" w:rsidP="00F5631D">
      <w:pPr>
        <w:spacing w:line="480" w:lineRule="auto"/>
        <w:jc w:val="center"/>
        <w:rPr>
          <w:rFonts w:ascii="Times New Roman" w:hAnsi="Times New Roman" w:cs="Times New Roman"/>
          <w:sz w:val="24"/>
          <w:szCs w:val="24"/>
        </w:rPr>
      </w:pPr>
    </w:p>
    <w:p w:rsidR="00F5631D" w:rsidRPr="00F5631D" w:rsidRDefault="00F5631D" w:rsidP="00F5631D">
      <w:pPr>
        <w:spacing w:line="480" w:lineRule="auto"/>
        <w:jc w:val="center"/>
        <w:rPr>
          <w:rFonts w:ascii="Times New Roman" w:hAnsi="Times New Roman" w:cs="Times New Roman"/>
          <w:sz w:val="24"/>
          <w:szCs w:val="24"/>
        </w:rPr>
      </w:pPr>
    </w:p>
    <w:p w:rsidR="00F5631D" w:rsidRPr="00F5631D" w:rsidRDefault="00F5631D" w:rsidP="00F5631D">
      <w:pPr>
        <w:spacing w:line="480" w:lineRule="auto"/>
        <w:rPr>
          <w:rFonts w:ascii="Times New Roman" w:hAnsi="Times New Roman" w:cs="Times New Roman"/>
          <w:sz w:val="24"/>
          <w:szCs w:val="24"/>
        </w:rPr>
      </w:pPr>
    </w:p>
    <w:p w:rsidR="00F5631D" w:rsidRPr="00F5631D" w:rsidRDefault="00F5631D" w:rsidP="00F5631D">
      <w:pPr>
        <w:spacing w:line="480" w:lineRule="auto"/>
        <w:jc w:val="center"/>
        <w:rPr>
          <w:rFonts w:ascii="Times New Roman" w:hAnsi="Times New Roman" w:cs="Times New Roman"/>
          <w:sz w:val="24"/>
          <w:szCs w:val="24"/>
        </w:rPr>
      </w:pPr>
      <w:r w:rsidRPr="00F5631D">
        <w:rPr>
          <w:rFonts w:ascii="Times New Roman" w:hAnsi="Times New Roman" w:cs="Times New Roman"/>
          <w:sz w:val="24"/>
          <w:szCs w:val="24"/>
        </w:rPr>
        <w:t>STRATEGIC</w:t>
      </w:r>
      <w:r w:rsidRPr="00F5631D">
        <w:rPr>
          <w:rFonts w:ascii="Times New Roman" w:hAnsi="Times New Roman" w:cs="Times New Roman"/>
          <w:b/>
          <w:sz w:val="24"/>
          <w:szCs w:val="24"/>
        </w:rPr>
        <w:t xml:space="preserve"> </w:t>
      </w:r>
      <w:r w:rsidRPr="00F5631D">
        <w:rPr>
          <w:rFonts w:ascii="Times New Roman" w:hAnsi="Times New Roman" w:cs="Times New Roman"/>
          <w:sz w:val="24"/>
          <w:szCs w:val="24"/>
        </w:rPr>
        <w:t>MANAGEMENT</w:t>
      </w:r>
    </w:p>
    <w:p w:rsidR="00F5631D" w:rsidRPr="00F5631D" w:rsidRDefault="00F5631D" w:rsidP="00F5631D">
      <w:pPr>
        <w:spacing w:line="480" w:lineRule="auto"/>
        <w:jc w:val="center"/>
        <w:rPr>
          <w:rFonts w:ascii="Times New Roman" w:hAnsi="Times New Roman" w:cs="Times New Roman"/>
          <w:sz w:val="24"/>
          <w:szCs w:val="24"/>
        </w:rPr>
      </w:pPr>
      <w:r w:rsidRPr="00F5631D">
        <w:rPr>
          <w:rFonts w:ascii="Times New Roman" w:hAnsi="Times New Roman" w:cs="Times New Roman"/>
          <w:sz w:val="24"/>
          <w:szCs w:val="24"/>
        </w:rPr>
        <w:t>Name:</w:t>
      </w:r>
    </w:p>
    <w:p w:rsidR="00F5631D" w:rsidRPr="00F5631D" w:rsidRDefault="00F5631D" w:rsidP="00F5631D">
      <w:pPr>
        <w:spacing w:line="480" w:lineRule="auto"/>
        <w:jc w:val="center"/>
        <w:rPr>
          <w:rFonts w:ascii="Times New Roman" w:hAnsi="Times New Roman" w:cs="Times New Roman"/>
          <w:sz w:val="24"/>
          <w:szCs w:val="24"/>
        </w:rPr>
      </w:pPr>
      <w:r w:rsidRPr="00F5631D">
        <w:rPr>
          <w:rFonts w:ascii="Times New Roman" w:hAnsi="Times New Roman" w:cs="Times New Roman"/>
          <w:sz w:val="24"/>
          <w:szCs w:val="24"/>
        </w:rPr>
        <w:t>Tutor:</w:t>
      </w:r>
    </w:p>
    <w:p w:rsidR="00F5631D" w:rsidRPr="00F5631D" w:rsidRDefault="00F5631D" w:rsidP="00F5631D">
      <w:pPr>
        <w:spacing w:line="480" w:lineRule="auto"/>
        <w:jc w:val="center"/>
        <w:rPr>
          <w:rFonts w:ascii="Times New Roman" w:hAnsi="Times New Roman" w:cs="Times New Roman"/>
          <w:sz w:val="24"/>
          <w:szCs w:val="24"/>
        </w:rPr>
      </w:pPr>
      <w:r w:rsidRPr="00F5631D">
        <w:rPr>
          <w:rFonts w:ascii="Times New Roman" w:hAnsi="Times New Roman" w:cs="Times New Roman"/>
          <w:sz w:val="24"/>
          <w:szCs w:val="24"/>
        </w:rPr>
        <w:t>Institution</w:t>
      </w:r>
    </w:p>
    <w:p w:rsidR="00F5631D" w:rsidRPr="00F5631D" w:rsidRDefault="00F5631D" w:rsidP="00F5631D">
      <w:pPr>
        <w:spacing w:line="480" w:lineRule="auto"/>
        <w:rPr>
          <w:rFonts w:ascii="Times New Roman" w:hAnsi="Times New Roman" w:cs="Times New Roman"/>
          <w:sz w:val="24"/>
          <w:szCs w:val="24"/>
        </w:rPr>
      </w:pPr>
    </w:p>
    <w:p w:rsidR="00F5631D" w:rsidRPr="00F5631D" w:rsidRDefault="00F5631D" w:rsidP="00F5631D">
      <w:pPr>
        <w:spacing w:line="480" w:lineRule="auto"/>
        <w:rPr>
          <w:rFonts w:ascii="Times New Roman" w:hAnsi="Times New Roman" w:cs="Times New Roman"/>
          <w:sz w:val="24"/>
          <w:szCs w:val="24"/>
        </w:rPr>
      </w:pPr>
    </w:p>
    <w:p w:rsidR="00F5631D" w:rsidRPr="00F5631D" w:rsidRDefault="00F5631D" w:rsidP="00F5631D">
      <w:pPr>
        <w:spacing w:line="480" w:lineRule="auto"/>
        <w:rPr>
          <w:rFonts w:ascii="Times New Roman" w:hAnsi="Times New Roman" w:cs="Times New Roman"/>
          <w:sz w:val="24"/>
          <w:szCs w:val="24"/>
        </w:rPr>
      </w:pPr>
    </w:p>
    <w:p w:rsidR="00F5631D" w:rsidRPr="00F5631D" w:rsidRDefault="00F5631D" w:rsidP="00F5631D">
      <w:pPr>
        <w:spacing w:line="480" w:lineRule="auto"/>
        <w:rPr>
          <w:rFonts w:ascii="Times New Roman" w:hAnsi="Times New Roman" w:cs="Times New Roman"/>
          <w:sz w:val="24"/>
          <w:szCs w:val="24"/>
        </w:rPr>
      </w:pPr>
    </w:p>
    <w:p w:rsidR="00F5631D" w:rsidRPr="00F5631D" w:rsidRDefault="00F5631D" w:rsidP="00F5631D">
      <w:pPr>
        <w:spacing w:line="480" w:lineRule="auto"/>
        <w:rPr>
          <w:rFonts w:ascii="Times New Roman" w:hAnsi="Times New Roman" w:cs="Times New Roman"/>
          <w:sz w:val="24"/>
          <w:szCs w:val="24"/>
        </w:rPr>
      </w:pPr>
    </w:p>
    <w:p w:rsidR="00F5631D" w:rsidRPr="00F5631D" w:rsidRDefault="00F5631D" w:rsidP="00F5631D">
      <w:pPr>
        <w:spacing w:line="480" w:lineRule="auto"/>
        <w:rPr>
          <w:rFonts w:ascii="Times New Roman" w:hAnsi="Times New Roman" w:cs="Times New Roman"/>
          <w:sz w:val="24"/>
          <w:szCs w:val="24"/>
        </w:rPr>
      </w:pPr>
    </w:p>
    <w:p w:rsidR="00F5631D" w:rsidRPr="00F5631D" w:rsidRDefault="00F5631D" w:rsidP="00F5631D">
      <w:pPr>
        <w:spacing w:line="480" w:lineRule="auto"/>
        <w:jc w:val="center"/>
        <w:rPr>
          <w:rFonts w:ascii="Times New Roman" w:hAnsi="Times New Roman" w:cs="Times New Roman"/>
          <w:b/>
          <w:sz w:val="24"/>
          <w:szCs w:val="24"/>
        </w:rPr>
      </w:pPr>
      <w:r w:rsidRPr="00F5631D">
        <w:rPr>
          <w:rFonts w:ascii="Times New Roman" w:hAnsi="Times New Roman" w:cs="Times New Roman"/>
          <w:b/>
          <w:sz w:val="24"/>
          <w:szCs w:val="24"/>
        </w:rPr>
        <w:lastRenderedPageBreak/>
        <w:t>IBM Canada</w:t>
      </w:r>
    </w:p>
    <w:p w:rsidR="00F5631D" w:rsidRPr="00F5631D" w:rsidRDefault="00F5631D" w:rsidP="00F5631D">
      <w:pPr>
        <w:spacing w:line="480" w:lineRule="auto"/>
        <w:rPr>
          <w:rFonts w:ascii="Times New Roman" w:hAnsi="Times New Roman" w:cs="Times New Roman"/>
          <w:b/>
          <w:sz w:val="24"/>
          <w:szCs w:val="24"/>
        </w:rPr>
      </w:pPr>
      <w:r w:rsidRPr="00F5631D">
        <w:rPr>
          <w:rFonts w:ascii="Times New Roman" w:hAnsi="Times New Roman" w:cs="Times New Roman"/>
          <w:b/>
          <w:sz w:val="24"/>
          <w:szCs w:val="24"/>
        </w:rPr>
        <w:t>Vision and mission statements</w:t>
      </w:r>
    </w:p>
    <w:p w:rsidR="00F5631D" w:rsidRPr="00F5631D" w:rsidRDefault="00F5631D" w:rsidP="00F5631D">
      <w:pPr>
        <w:spacing w:line="480" w:lineRule="auto"/>
        <w:ind w:firstLine="720"/>
        <w:rPr>
          <w:rFonts w:ascii="Times New Roman" w:hAnsi="Times New Roman" w:cs="Times New Roman"/>
          <w:sz w:val="24"/>
          <w:szCs w:val="24"/>
        </w:rPr>
      </w:pPr>
      <w:r w:rsidRPr="00F5631D">
        <w:rPr>
          <w:rFonts w:ascii="Times New Roman" w:hAnsi="Times New Roman" w:cs="Times New Roman"/>
          <w:sz w:val="24"/>
          <w:szCs w:val="24"/>
        </w:rPr>
        <w:t xml:space="preserve">IBM's vision statement is provided as aspiring to become the most successful company in technology globally regarding assisting customers in using technology in problem solving, the introduction of the created technology to new customers, and be the main resource of investments in the technological industry (Baines, 2017). According to Kanter (2010), the mission statement for IBM is to the effect that it aspires to be on the lead as regards innovation, development, and manufacturing of the most advanced information technologies of the industry. For instance, in this case, we have computer systems, systems of networking, software, microelectronics and storage devices where these solutions are intended to translate into business value for customers. </w:t>
      </w:r>
    </w:p>
    <w:p w:rsidR="00F5631D" w:rsidRPr="00F5631D" w:rsidRDefault="00F5631D" w:rsidP="00F5631D">
      <w:pPr>
        <w:spacing w:line="480" w:lineRule="auto"/>
        <w:ind w:firstLine="720"/>
        <w:rPr>
          <w:rFonts w:ascii="Times New Roman" w:hAnsi="Times New Roman" w:cs="Times New Roman"/>
          <w:sz w:val="24"/>
          <w:szCs w:val="24"/>
        </w:rPr>
      </w:pPr>
      <w:r w:rsidRPr="00F5631D">
        <w:rPr>
          <w:rFonts w:ascii="Times New Roman" w:hAnsi="Times New Roman" w:cs="Times New Roman"/>
          <w:sz w:val="24"/>
          <w:szCs w:val="24"/>
        </w:rPr>
        <w:t>The above-stated vision and mission statement for IBM have strongly linked to the organization as well as its brand. The vision states how the organizations desire to be in future, a desire that would guide the organization's strategic direction. From the vision statement, an inference is made as to the importance of the business' leadership in the technological industry. On the other hand, being in the know that a mission to an organization determines the kind of activities that define the business in addition to guiding how the business develops its strategies (Ekpe, Eneh &amp; Inyang, 2015), IBM's mission statement shows the operations of the company in the market. Consequently, a realization is made that the state does not highlight the values that the globe's best performing organizations use. Moreover, the mission does not communicate the corporation's purposes to all its stakeholders thereby making it an inefficient communication tool (Ekpe et al., 2015). To incorporate these elements, a recommendation is made that the organization's vision and mission be as follows:-</w:t>
      </w:r>
    </w:p>
    <w:p w:rsidR="00F5631D" w:rsidRPr="00F5631D" w:rsidRDefault="00F5631D" w:rsidP="00F5631D">
      <w:pPr>
        <w:spacing w:line="480" w:lineRule="auto"/>
        <w:rPr>
          <w:rFonts w:ascii="Times New Roman" w:hAnsi="Times New Roman" w:cs="Times New Roman"/>
          <w:sz w:val="24"/>
          <w:szCs w:val="24"/>
        </w:rPr>
      </w:pPr>
      <w:r w:rsidRPr="00F5631D">
        <w:rPr>
          <w:rFonts w:ascii="Times New Roman" w:hAnsi="Times New Roman" w:cs="Times New Roman"/>
          <w:b/>
          <w:sz w:val="24"/>
          <w:szCs w:val="24"/>
        </w:rPr>
        <w:lastRenderedPageBreak/>
        <w:t>Mission:</w:t>
      </w:r>
      <w:r w:rsidRPr="00F5631D">
        <w:rPr>
          <w:rFonts w:ascii="Times New Roman" w:hAnsi="Times New Roman" w:cs="Times New Roman"/>
          <w:sz w:val="24"/>
          <w:szCs w:val="24"/>
        </w:rPr>
        <w:t xml:space="preserve"> Striving to offer the world-leading innovations in information technology sector as a reward to those who appreciate brand's quality including computer systems, software, storage systems and microelectronics. The organization is committed to remaining in the leading position as regards technology and innovation while guaranteeing profitability to its investors. The organization upholds respect for employees as and therefore rewards such individuals for great work as it knows that they responsible for its environmental leadership.</w:t>
      </w:r>
    </w:p>
    <w:p w:rsidR="00F5631D" w:rsidRPr="00F5631D" w:rsidRDefault="00F5631D" w:rsidP="00F5631D">
      <w:pPr>
        <w:spacing w:line="480" w:lineRule="auto"/>
        <w:rPr>
          <w:rFonts w:ascii="Times New Roman" w:hAnsi="Times New Roman" w:cs="Times New Roman"/>
          <w:b/>
          <w:sz w:val="24"/>
          <w:szCs w:val="24"/>
        </w:rPr>
      </w:pPr>
      <w:r w:rsidRPr="00F5631D">
        <w:rPr>
          <w:rFonts w:ascii="Times New Roman" w:hAnsi="Times New Roman" w:cs="Times New Roman"/>
          <w:b/>
          <w:sz w:val="24"/>
          <w:szCs w:val="24"/>
        </w:rPr>
        <w:t>Company's Background information</w:t>
      </w:r>
    </w:p>
    <w:p w:rsidR="00F5631D" w:rsidRPr="00F5631D" w:rsidRDefault="00F5631D" w:rsidP="00F5631D">
      <w:pPr>
        <w:spacing w:line="480" w:lineRule="auto"/>
        <w:ind w:firstLine="720"/>
        <w:rPr>
          <w:rFonts w:ascii="Times New Roman" w:hAnsi="Times New Roman" w:cs="Times New Roman"/>
          <w:sz w:val="24"/>
          <w:szCs w:val="24"/>
        </w:rPr>
      </w:pPr>
      <w:r w:rsidRPr="00F5631D">
        <w:rPr>
          <w:rFonts w:ascii="Times New Roman" w:hAnsi="Times New Roman" w:cs="Times New Roman"/>
          <w:sz w:val="24"/>
          <w:szCs w:val="24"/>
        </w:rPr>
        <w:t xml:space="preserve">IBM Canada Limited Company that deals in IT and servicing of organizations was established in the year 1917 in Canada and has locations of sales in all the main cities across in the Country (Canada, 2015). The company has its headquarters in </w:t>
      </w:r>
      <w:proofErr w:type="spellStart"/>
      <w:r w:rsidRPr="00F5631D">
        <w:rPr>
          <w:rFonts w:ascii="Times New Roman" w:hAnsi="Times New Roman" w:cs="Times New Roman"/>
          <w:sz w:val="24"/>
          <w:szCs w:val="24"/>
        </w:rPr>
        <w:t>Marham</w:t>
      </w:r>
      <w:proofErr w:type="spellEnd"/>
      <w:r w:rsidRPr="00F5631D">
        <w:rPr>
          <w:rFonts w:ascii="Times New Roman" w:hAnsi="Times New Roman" w:cs="Times New Roman"/>
          <w:sz w:val="24"/>
          <w:szCs w:val="24"/>
        </w:rPr>
        <w:t>, Ontario and is known in the whole world as the best in development of software having its largest lab situated in Toronto with a state of art lab in Ottawa. As such, the company is leading in chip innovation and manufacturer worldwide (Kanter, 2010).  The ability of the company to innovate is observed in the evolution of the Bromont, Quebec's manufacturing plant from assembling to becoming a competent center in the engineering of assembly and packaging technologies for microelectronic components. Baines (2017)</w:t>
      </w:r>
      <w:r>
        <w:rPr>
          <w:rFonts w:ascii="Times New Roman" w:hAnsi="Times New Roman" w:cs="Times New Roman"/>
          <w:sz w:val="24"/>
          <w:szCs w:val="24"/>
        </w:rPr>
        <w:t>,</w:t>
      </w:r>
      <w:r w:rsidRPr="00F5631D">
        <w:rPr>
          <w:rFonts w:ascii="Times New Roman" w:hAnsi="Times New Roman" w:cs="Times New Roman"/>
          <w:sz w:val="24"/>
          <w:szCs w:val="24"/>
        </w:rPr>
        <w:t xml:space="preserve"> states that the company has e-business centers of innovation in Toronto, Vancouver, and Edmonton. These centers provide services that are complete suite interactive ranging from integration of brand and channel strategy to development of the application that encompasses creative design and usability engineering (Kanter, 2010). The company's employees are more than 1,200 professionals. There are well over 3,000 authorized dealers for the company that includes associate companies, business partners, distributors, and marketers (Dobbs, 2014). According to Canada (2015) this leads to provision of revenue to Canada to the tune of millions of dollars per year. IBM's Canada competitors include Cisco </w:t>
      </w:r>
      <w:r w:rsidRPr="00F5631D">
        <w:rPr>
          <w:rFonts w:ascii="Times New Roman" w:hAnsi="Times New Roman" w:cs="Times New Roman"/>
          <w:sz w:val="24"/>
          <w:szCs w:val="24"/>
        </w:rPr>
        <w:lastRenderedPageBreak/>
        <w:t>Systems Cana Company, ESIT Canada Enterprise Services Company and Dell Canada Inc. (Dobbs, 2014).</w:t>
      </w:r>
    </w:p>
    <w:p w:rsidR="00F5631D" w:rsidRPr="00F5631D" w:rsidRDefault="00F5631D" w:rsidP="00F5631D">
      <w:pPr>
        <w:spacing w:line="480" w:lineRule="auto"/>
        <w:rPr>
          <w:rFonts w:ascii="Times New Roman" w:hAnsi="Times New Roman" w:cs="Times New Roman"/>
          <w:b/>
          <w:sz w:val="24"/>
          <w:szCs w:val="24"/>
        </w:rPr>
      </w:pPr>
      <w:r w:rsidRPr="00F5631D">
        <w:rPr>
          <w:rFonts w:ascii="Times New Roman" w:hAnsi="Times New Roman" w:cs="Times New Roman"/>
          <w:b/>
          <w:sz w:val="24"/>
          <w:szCs w:val="24"/>
        </w:rPr>
        <w:t>Discussion of the organization's structure</w:t>
      </w:r>
    </w:p>
    <w:p w:rsidR="00F5631D" w:rsidRPr="00F5631D" w:rsidRDefault="00F5631D" w:rsidP="00F5631D">
      <w:pPr>
        <w:spacing w:line="480" w:lineRule="auto"/>
        <w:ind w:firstLine="720"/>
        <w:rPr>
          <w:rFonts w:ascii="Times New Roman" w:hAnsi="Times New Roman" w:cs="Times New Roman"/>
          <w:sz w:val="24"/>
          <w:szCs w:val="24"/>
        </w:rPr>
      </w:pPr>
      <w:r w:rsidRPr="00F5631D">
        <w:rPr>
          <w:rFonts w:ascii="Times New Roman" w:hAnsi="Times New Roman" w:cs="Times New Roman"/>
          <w:sz w:val="24"/>
          <w:szCs w:val="24"/>
        </w:rPr>
        <w:t xml:space="preserve">IBM is known as the first company to bring about a company-wide design program a development that was done in 1956 (Kanter, 2010).  Canada (2015) states that as time goes by, the company has been focusing on its design programs whereby the company began introduction new approach to strengthening a culture related to design and design thinking in all of its branches and this included product divisions, business services sales teams, and technology services. These work together in bringing to realization THE Organization's model of design thinking (Dobbs, 2014). A lot of emphases </w:t>
      </w:r>
      <w:proofErr w:type="gramStart"/>
      <w:r w:rsidRPr="00F5631D">
        <w:rPr>
          <w:rFonts w:ascii="Times New Roman" w:hAnsi="Times New Roman" w:cs="Times New Roman"/>
          <w:sz w:val="24"/>
          <w:szCs w:val="24"/>
        </w:rPr>
        <w:t>is</w:t>
      </w:r>
      <w:proofErr w:type="gramEnd"/>
      <w:r w:rsidRPr="00F5631D">
        <w:rPr>
          <w:rFonts w:ascii="Times New Roman" w:hAnsi="Times New Roman" w:cs="Times New Roman"/>
          <w:sz w:val="24"/>
          <w:szCs w:val="24"/>
        </w:rPr>
        <w:t xml:space="preserve"> placed on driving innovation based on the company's belief that everyone uses its model of design thinking (Baines, 2017). In carrying out its activities, the company places the obligation on the top personnel to take up the leadership role in working towards achievement of the organization's goals (Kanter, 2010). However, the organization works towards aligning its teams to understand its overall objectives so that everybody becomes focused and gets to know what is expected of them thereby collaborating through a strategy known as ‘playback' reviews with stakeholders (Dobbs, 2014). Quarterly pivot meeting is held where the organization's progress in monitored while outlining lessons learned and identifying things that worked and those that never worked to fix them accordingly (Kanter, 2010). Recently, the organization found it necessary to hire more designers in the ratio of about 1:8 regarding designers to engineers to accumulate adequate and right skills for the company (Baines, 2017). In doing this, the organization embarked on outsourcing designers from top design schools in the universe and through the initiate hired 1600 people (Kanter, 2010). </w:t>
      </w:r>
    </w:p>
    <w:p w:rsidR="00F5631D" w:rsidRDefault="00F5631D" w:rsidP="00F5631D">
      <w:pPr>
        <w:spacing w:line="480" w:lineRule="auto"/>
        <w:rPr>
          <w:rFonts w:ascii="Times New Roman" w:hAnsi="Times New Roman" w:cs="Times New Roman"/>
          <w:b/>
          <w:sz w:val="24"/>
          <w:szCs w:val="24"/>
        </w:rPr>
      </w:pPr>
    </w:p>
    <w:p w:rsidR="00F5631D" w:rsidRPr="00F5631D" w:rsidRDefault="00F5631D" w:rsidP="00F5631D">
      <w:pPr>
        <w:spacing w:line="480" w:lineRule="auto"/>
        <w:rPr>
          <w:rFonts w:ascii="Times New Roman" w:hAnsi="Times New Roman" w:cs="Times New Roman"/>
          <w:b/>
          <w:sz w:val="24"/>
          <w:szCs w:val="24"/>
        </w:rPr>
      </w:pPr>
      <w:r w:rsidRPr="00F5631D">
        <w:rPr>
          <w:rFonts w:ascii="Times New Roman" w:hAnsi="Times New Roman" w:cs="Times New Roman"/>
          <w:b/>
          <w:sz w:val="24"/>
          <w:szCs w:val="24"/>
        </w:rPr>
        <w:lastRenderedPageBreak/>
        <w:t>External Audit</w:t>
      </w:r>
    </w:p>
    <w:p w:rsidR="00F5631D" w:rsidRPr="00F5631D" w:rsidRDefault="00F5631D" w:rsidP="00F5631D">
      <w:pPr>
        <w:spacing w:line="480" w:lineRule="auto"/>
        <w:ind w:firstLine="720"/>
        <w:rPr>
          <w:rFonts w:ascii="Times New Roman" w:hAnsi="Times New Roman" w:cs="Times New Roman"/>
          <w:sz w:val="24"/>
          <w:szCs w:val="24"/>
        </w:rPr>
      </w:pPr>
      <w:r w:rsidRPr="00F5631D">
        <w:rPr>
          <w:rFonts w:ascii="Times New Roman" w:hAnsi="Times New Roman" w:cs="Times New Roman"/>
          <w:sz w:val="24"/>
          <w:szCs w:val="24"/>
        </w:rPr>
        <w:t xml:space="preserve">IBM Canada's external audit that includes the general environment and competitive analysis shall be done using Michael Porter's five forces model.  These include competitive rivalry, supplier power, buyer power, the threat of substitution, and the threat of new entry (Dobbs, 2014). Summary of this analysis would be presented through the EFE and CPM matrices. </w:t>
      </w:r>
    </w:p>
    <w:p w:rsidR="00F5631D" w:rsidRPr="00F5631D" w:rsidRDefault="00F5631D" w:rsidP="00F5631D">
      <w:pPr>
        <w:spacing w:line="480" w:lineRule="auto"/>
        <w:ind w:firstLine="720"/>
        <w:rPr>
          <w:rFonts w:ascii="Times New Roman" w:hAnsi="Times New Roman" w:cs="Times New Roman"/>
          <w:sz w:val="24"/>
          <w:szCs w:val="24"/>
        </w:rPr>
      </w:pPr>
      <w:r w:rsidRPr="00F5631D">
        <w:rPr>
          <w:rFonts w:ascii="Times New Roman" w:hAnsi="Times New Roman" w:cs="Times New Roman"/>
          <w:sz w:val="24"/>
          <w:szCs w:val="24"/>
        </w:rPr>
        <w:t xml:space="preserve">As regards IBM's competitive rivalry, recent reports indicate that IBM is on the verge of taking charge of AT &amp; T's which involves dealing in the cloud and big data mainly in the telecommunications field (Dobbs, 2014). The organization has resolved to do this by strengthening its collaboration with AT &amp;T to keep on delivering new innovative solutions in the bid to meeting the objectives of its clients' business (Canada, 2015). The fact that telecom operators are intensifying their focus on cloud, analytics as well as mobility is a presentation of a great growth opportunity for IBM. The company's significant power of purchasing is its unique resource that is managed responsibly hence spending more than $3 billion per year with various suppliers (Dobbs, 2014). To ensure that its standards of behavior, as well as that of its supplier, remain high, IBM ensures that compliance to the relevant laws is up to date in addition to being committed to working with its suppliers in the promotion of sound practices to establish sound global markets (Canada, 2015). In this regard, IBM maintains a channel of communication with its suppliers that is open to reaching an agreement on expectations. As a result, the supply chain has become increasingly high with the sector of electronics being the major point of attention as far as supply chain social responsibility is concerned. The threat of substitution has an adverse impact on IBM's business since it leads to a reduction in revenues (Dobbs, 2014). This is because businesses that exhibit success obviously put firms that are established out of business. For IBM </w:t>
      </w:r>
      <w:r w:rsidRPr="00F5631D">
        <w:rPr>
          <w:rFonts w:ascii="Times New Roman" w:hAnsi="Times New Roman" w:cs="Times New Roman"/>
          <w:sz w:val="24"/>
          <w:szCs w:val="24"/>
        </w:rPr>
        <w:lastRenderedPageBreak/>
        <w:t>to safeguard itself against this threat, it has to ensure that the cost of changing is moderate. Other factors that would shield IBM include the moderate availability of substitutes as well as perceiving the level of product differentiation in a moderate level by customers (Canada, 2015).  As far as the threat of new entry is concerned, it leads to increased level of competition in the industry which reduces the share of IBM in the market for information technology (Dobbs, 2014). The factors that affect this threat include the level of imitation potential, cost of changing and cost of entry.</w:t>
      </w:r>
    </w:p>
    <w:p w:rsidR="008A291D" w:rsidRPr="00F5631D" w:rsidRDefault="008A291D" w:rsidP="00F5631D">
      <w:pPr>
        <w:spacing w:line="480" w:lineRule="auto"/>
        <w:rPr>
          <w:rFonts w:ascii="Times New Roman" w:hAnsi="Times New Roman" w:cs="Times New Roman"/>
          <w:b/>
          <w:sz w:val="24"/>
          <w:szCs w:val="24"/>
        </w:rPr>
      </w:pPr>
      <w:r w:rsidRPr="00F5631D">
        <w:rPr>
          <w:rFonts w:ascii="Times New Roman" w:hAnsi="Times New Roman" w:cs="Times New Roman"/>
          <w:b/>
          <w:sz w:val="24"/>
          <w:szCs w:val="24"/>
        </w:rPr>
        <w:t>IBM’s IFE</w:t>
      </w:r>
      <w:r w:rsidR="000E5467" w:rsidRPr="00F5631D">
        <w:rPr>
          <w:rFonts w:ascii="Times New Roman" w:hAnsi="Times New Roman" w:cs="Times New Roman"/>
          <w:b/>
          <w:sz w:val="24"/>
          <w:szCs w:val="24"/>
        </w:rPr>
        <w:t xml:space="preserve"> Matrix</w:t>
      </w:r>
    </w:p>
    <w:tbl>
      <w:tblPr>
        <w:tblStyle w:val="TableGrid"/>
        <w:tblW w:w="9355" w:type="dxa"/>
        <w:tblLook w:val="0000"/>
      </w:tblPr>
      <w:tblGrid>
        <w:gridCol w:w="4585"/>
        <w:gridCol w:w="1890"/>
        <w:gridCol w:w="1170"/>
        <w:gridCol w:w="1710"/>
      </w:tblGrid>
      <w:tr w:rsidR="008A291D" w:rsidRPr="00F5631D" w:rsidTr="00C3212F">
        <w:trPr>
          <w:trHeight w:val="420"/>
        </w:trPr>
        <w:tc>
          <w:tcPr>
            <w:tcW w:w="9355" w:type="dxa"/>
            <w:gridSpan w:val="4"/>
          </w:tcPr>
          <w:p w:rsidR="008A291D" w:rsidRPr="00F5631D" w:rsidRDefault="008A291D" w:rsidP="00F5631D">
            <w:pPr>
              <w:spacing w:after="160" w:line="276" w:lineRule="auto"/>
              <w:ind w:left="-5"/>
              <w:rPr>
                <w:rFonts w:ascii="Times New Roman" w:hAnsi="Times New Roman" w:cs="Times New Roman"/>
                <w:b/>
                <w:sz w:val="24"/>
                <w:szCs w:val="24"/>
              </w:rPr>
            </w:pPr>
            <w:r w:rsidRPr="00F5631D">
              <w:rPr>
                <w:rFonts w:ascii="Times New Roman" w:hAnsi="Times New Roman" w:cs="Times New Roman"/>
                <w:sz w:val="24"/>
                <w:szCs w:val="24"/>
              </w:rPr>
              <w:t xml:space="preserve">                                                                                 </w:t>
            </w:r>
            <w:r w:rsidRPr="00F5631D">
              <w:rPr>
                <w:rFonts w:ascii="Times New Roman" w:hAnsi="Times New Roman" w:cs="Times New Roman"/>
                <w:b/>
                <w:sz w:val="24"/>
                <w:szCs w:val="24"/>
              </w:rPr>
              <w:t>Opportunities</w:t>
            </w:r>
          </w:p>
        </w:tc>
      </w:tr>
      <w:tr w:rsidR="008A291D" w:rsidRPr="00F5631D" w:rsidTr="00C3212F">
        <w:tblPrEx>
          <w:tblLook w:val="04A0"/>
        </w:tblPrEx>
        <w:tc>
          <w:tcPr>
            <w:tcW w:w="4585" w:type="dxa"/>
          </w:tcPr>
          <w:p w:rsidR="008A291D" w:rsidRPr="00F5631D" w:rsidRDefault="008A291D" w:rsidP="00F5631D">
            <w:pPr>
              <w:spacing w:line="276" w:lineRule="auto"/>
              <w:rPr>
                <w:rFonts w:ascii="Times New Roman" w:hAnsi="Times New Roman" w:cs="Times New Roman"/>
                <w:b/>
                <w:sz w:val="24"/>
                <w:szCs w:val="24"/>
              </w:rPr>
            </w:pPr>
            <w:r w:rsidRPr="00F5631D">
              <w:rPr>
                <w:rFonts w:ascii="Times New Roman" w:hAnsi="Times New Roman" w:cs="Times New Roman"/>
                <w:b/>
                <w:sz w:val="24"/>
                <w:szCs w:val="24"/>
              </w:rPr>
              <w:t>Key external factors</w:t>
            </w:r>
          </w:p>
          <w:p w:rsidR="00C3212F" w:rsidRPr="00F5631D" w:rsidRDefault="00C3212F" w:rsidP="00F5631D">
            <w:pPr>
              <w:spacing w:line="276" w:lineRule="auto"/>
              <w:rPr>
                <w:rFonts w:ascii="Times New Roman" w:hAnsi="Times New Roman" w:cs="Times New Roman"/>
                <w:sz w:val="24"/>
                <w:szCs w:val="24"/>
              </w:rPr>
            </w:pPr>
          </w:p>
        </w:tc>
        <w:tc>
          <w:tcPr>
            <w:tcW w:w="1890" w:type="dxa"/>
          </w:tcPr>
          <w:p w:rsidR="00C3212F" w:rsidRPr="00F5631D" w:rsidRDefault="00C3212F" w:rsidP="00F5631D">
            <w:pPr>
              <w:spacing w:line="276" w:lineRule="auto"/>
              <w:rPr>
                <w:rFonts w:ascii="Times New Roman" w:hAnsi="Times New Roman" w:cs="Times New Roman"/>
                <w:b/>
                <w:sz w:val="24"/>
                <w:szCs w:val="24"/>
              </w:rPr>
            </w:pPr>
          </w:p>
          <w:p w:rsidR="008A291D" w:rsidRPr="00F5631D" w:rsidRDefault="008A291D" w:rsidP="00F5631D">
            <w:pPr>
              <w:spacing w:line="276" w:lineRule="auto"/>
              <w:rPr>
                <w:rFonts w:ascii="Times New Roman" w:hAnsi="Times New Roman" w:cs="Times New Roman"/>
                <w:b/>
                <w:sz w:val="24"/>
                <w:szCs w:val="24"/>
              </w:rPr>
            </w:pPr>
            <w:r w:rsidRPr="00F5631D">
              <w:rPr>
                <w:rFonts w:ascii="Times New Roman" w:hAnsi="Times New Roman" w:cs="Times New Roman"/>
                <w:b/>
                <w:sz w:val="24"/>
                <w:szCs w:val="24"/>
              </w:rPr>
              <w:t>Weight</w:t>
            </w:r>
          </w:p>
        </w:tc>
        <w:tc>
          <w:tcPr>
            <w:tcW w:w="1170" w:type="dxa"/>
          </w:tcPr>
          <w:p w:rsidR="00C3212F" w:rsidRPr="00F5631D" w:rsidRDefault="00C3212F" w:rsidP="00F5631D">
            <w:pPr>
              <w:spacing w:line="276" w:lineRule="auto"/>
              <w:rPr>
                <w:rFonts w:ascii="Times New Roman" w:hAnsi="Times New Roman" w:cs="Times New Roman"/>
                <w:b/>
                <w:sz w:val="24"/>
                <w:szCs w:val="24"/>
              </w:rPr>
            </w:pPr>
          </w:p>
          <w:p w:rsidR="008A291D" w:rsidRPr="00F5631D" w:rsidRDefault="008A291D" w:rsidP="00F5631D">
            <w:pPr>
              <w:spacing w:line="276" w:lineRule="auto"/>
              <w:rPr>
                <w:rFonts w:ascii="Times New Roman" w:hAnsi="Times New Roman" w:cs="Times New Roman"/>
                <w:b/>
                <w:sz w:val="24"/>
                <w:szCs w:val="24"/>
              </w:rPr>
            </w:pPr>
            <w:r w:rsidRPr="00F5631D">
              <w:rPr>
                <w:rFonts w:ascii="Times New Roman" w:hAnsi="Times New Roman" w:cs="Times New Roman"/>
                <w:b/>
                <w:sz w:val="24"/>
                <w:szCs w:val="24"/>
              </w:rPr>
              <w:t xml:space="preserve"> Rating                         </w:t>
            </w:r>
          </w:p>
        </w:tc>
        <w:tc>
          <w:tcPr>
            <w:tcW w:w="1710" w:type="dxa"/>
          </w:tcPr>
          <w:p w:rsidR="00C3212F" w:rsidRPr="00F5631D" w:rsidRDefault="00C3212F" w:rsidP="00F5631D">
            <w:pPr>
              <w:spacing w:line="276" w:lineRule="auto"/>
              <w:rPr>
                <w:rFonts w:ascii="Times New Roman" w:hAnsi="Times New Roman" w:cs="Times New Roman"/>
                <w:b/>
                <w:sz w:val="24"/>
                <w:szCs w:val="24"/>
              </w:rPr>
            </w:pPr>
            <w:r w:rsidRPr="00F5631D">
              <w:rPr>
                <w:rFonts w:ascii="Times New Roman" w:hAnsi="Times New Roman" w:cs="Times New Roman"/>
                <w:b/>
                <w:sz w:val="24"/>
                <w:szCs w:val="24"/>
              </w:rPr>
              <w:t xml:space="preserve"> </w:t>
            </w:r>
          </w:p>
          <w:p w:rsidR="008A291D" w:rsidRPr="00F5631D" w:rsidRDefault="008A291D" w:rsidP="00F5631D">
            <w:pPr>
              <w:spacing w:line="276" w:lineRule="auto"/>
              <w:rPr>
                <w:rFonts w:ascii="Times New Roman" w:hAnsi="Times New Roman" w:cs="Times New Roman"/>
                <w:b/>
                <w:sz w:val="24"/>
                <w:szCs w:val="24"/>
              </w:rPr>
            </w:pPr>
            <w:r w:rsidRPr="00F5631D">
              <w:rPr>
                <w:rFonts w:ascii="Times New Roman" w:hAnsi="Times New Roman" w:cs="Times New Roman"/>
                <w:b/>
                <w:sz w:val="24"/>
                <w:szCs w:val="24"/>
              </w:rPr>
              <w:t>Weighted score</w:t>
            </w:r>
          </w:p>
        </w:tc>
      </w:tr>
      <w:tr w:rsidR="008A291D" w:rsidRPr="00F5631D" w:rsidTr="00C3212F">
        <w:tblPrEx>
          <w:tblLook w:val="04A0"/>
        </w:tblPrEx>
        <w:tc>
          <w:tcPr>
            <w:tcW w:w="4585" w:type="dxa"/>
          </w:tcPr>
          <w:p w:rsidR="008A291D" w:rsidRPr="00F5631D" w:rsidRDefault="00696EC6"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Globalization for balancing fluctuation if varied economies</w:t>
            </w:r>
          </w:p>
        </w:tc>
        <w:tc>
          <w:tcPr>
            <w:tcW w:w="189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0.05</w:t>
            </w:r>
          </w:p>
        </w:tc>
        <w:tc>
          <w:tcPr>
            <w:tcW w:w="117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3</w:t>
            </w:r>
          </w:p>
        </w:tc>
        <w:tc>
          <w:tcPr>
            <w:tcW w:w="171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0.15</w:t>
            </w:r>
          </w:p>
        </w:tc>
      </w:tr>
      <w:tr w:rsidR="008A291D" w:rsidRPr="00F5631D" w:rsidTr="00C3212F">
        <w:tblPrEx>
          <w:tblLook w:val="04A0"/>
        </w:tblPrEx>
        <w:tc>
          <w:tcPr>
            <w:tcW w:w="4585" w:type="dxa"/>
          </w:tcPr>
          <w:p w:rsidR="008A291D" w:rsidRPr="00F5631D" w:rsidRDefault="00696EC6"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Development of products that entice the young generation</w:t>
            </w:r>
          </w:p>
        </w:tc>
        <w:tc>
          <w:tcPr>
            <w:tcW w:w="189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0.16</w:t>
            </w:r>
          </w:p>
        </w:tc>
        <w:tc>
          <w:tcPr>
            <w:tcW w:w="117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1</w:t>
            </w:r>
          </w:p>
        </w:tc>
        <w:tc>
          <w:tcPr>
            <w:tcW w:w="171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0.16</w:t>
            </w:r>
          </w:p>
        </w:tc>
      </w:tr>
      <w:tr w:rsidR="008A291D" w:rsidRPr="00F5631D" w:rsidTr="00C3212F">
        <w:tblPrEx>
          <w:tblLook w:val="04A0"/>
        </w:tblPrEx>
        <w:tc>
          <w:tcPr>
            <w:tcW w:w="4585" w:type="dxa"/>
          </w:tcPr>
          <w:p w:rsidR="00C3212F" w:rsidRPr="00F5631D" w:rsidRDefault="00C3212F" w:rsidP="00F5631D">
            <w:pPr>
              <w:tabs>
                <w:tab w:val="right" w:pos="4369"/>
              </w:tabs>
              <w:spacing w:line="276" w:lineRule="auto"/>
              <w:rPr>
                <w:rFonts w:ascii="Times New Roman" w:hAnsi="Times New Roman" w:cs="Times New Roman"/>
                <w:sz w:val="24"/>
                <w:szCs w:val="24"/>
              </w:rPr>
            </w:pPr>
          </w:p>
          <w:p w:rsidR="00C3212F" w:rsidRPr="00F5631D" w:rsidRDefault="00696EC6" w:rsidP="00F5631D">
            <w:pPr>
              <w:tabs>
                <w:tab w:val="right" w:pos="4369"/>
              </w:tabs>
              <w:spacing w:line="276" w:lineRule="auto"/>
              <w:rPr>
                <w:rFonts w:ascii="Times New Roman" w:hAnsi="Times New Roman" w:cs="Times New Roman"/>
                <w:sz w:val="24"/>
                <w:szCs w:val="24"/>
              </w:rPr>
            </w:pPr>
            <w:r w:rsidRPr="00F5631D">
              <w:rPr>
                <w:rFonts w:ascii="Times New Roman" w:hAnsi="Times New Roman" w:cs="Times New Roman"/>
                <w:sz w:val="24"/>
                <w:szCs w:val="24"/>
              </w:rPr>
              <w:t>Use of patents in revenue generation</w:t>
            </w:r>
            <w:r w:rsidR="00C3212F" w:rsidRPr="00F5631D">
              <w:rPr>
                <w:rFonts w:ascii="Times New Roman" w:hAnsi="Times New Roman" w:cs="Times New Roman"/>
                <w:sz w:val="24"/>
                <w:szCs w:val="24"/>
              </w:rPr>
              <w:tab/>
            </w:r>
          </w:p>
        </w:tc>
        <w:tc>
          <w:tcPr>
            <w:tcW w:w="189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0.04</w:t>
            </w:r>
          </w:p>
        </w:tc>
        <w:tc>
          <w:tcPr>
            <w:tcW w:w="117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2</w:t>
            </w:r>
          </w:p>
        </w:tc>
        <w:tc>
          <w:tcPr>
            <w:tcW w:w="171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0.08</w:t>
            </w:r>
          </w:p>
        </w:tc>
      </w:tr>
      <w:tr w:rsidR="008A291D" w:rsidRPr="00F5631D" w:rsidTr="00C3212F">
        <w:tblPrEx>
          <w:tblLook w:val="04A0"/>
        </w:tblPrEx>
        <w:tc>
          <w:tcPr>
            <w:tcW w:w="4585" w:type="dxa"/>
          </w:tcPr>
          <w:p w:rsidR="00C3212F" w:rsidRPr="00F5631D" w:rsidRDefault="00C3212F" w:rsidP="00F5631D">
            <w:pPr>
              <w:spacing w:line="276" w:lineRule="auto"/>
              <w:rPr>
                <w:rFonts w:ascii="Times New Roman" w:hAnsi="Times New Roman" w:cs="Times New Roman"/>
                <w:sz w:val="24"/>
                <w:szCs w:val="24"/>
              </w:rPr>
            </w:pPr>
          </w:p>
          <w:p w:rsidR="00C3212F" w:rsidRPr="00F5631D" w:rsidRDefault="00696EC6"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Placing more focus on OEM</w:t>
            </w:r>
          </w:p>
        </w:tc>
        <w:tc>
          <w:tcPr>
            <w:tcW w:w="189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0.1</w:t>
            </w:r>
          </w:p>
        </w:tc>
        <w:tc>
          <w:tcPr>
            <w:tcW w:w="117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2</w:t>
            </w:r>
          </w:p>
        </w:tc>
        <w:tc>
          <w:tcPr>
            <w:tcW w:w="171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0.2</w:t>
            </w:r>
          </w:p>
        </w:tc>
      </w:tr>
      <w:tr w:rsidR="008A291D" w:rsidRPr="00F5631D" w:rsidTr="00C3212F">
        <w:tblPrEx>
          <w:tblLook w:val="04A0"/>
        </w:tblPrEx>
        <w:tc>
          <w:tcPr>
            <w:tcW w:w="4585" w:type="dxa"/>
          </w:tcPr>
          <w:p w:rsidR="00C3212F" w:rsidRPr="00F5631D" w:rsidRDefault="00C3212F" w:rsidP="00F5631D">
            <w:pPr>
              <w:spacing w:line="276" w:lineRule="auto"/>
              <w:rPr>
                <w:rFonts w:ascii="Times New Roman" w:hAnsi="Times New Roman" w:cs="Times New Roman"/>
                <w:sz w:val="24"/>
                <w:szCs w:val="24"/>
              </w:rPr>
            </w:pPr>
          </w:p>
          <w:p w:rsidR="00C3212F" w:rsidRPr="00F5631D" w:rsidRDefault="00696EC6"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Hiring and using of international expertise</w:t>
            </w:r>
          </w:p>
        </w:tc>
        <w:tc>
          <w:tcPr>
            <w:tcW w:w="189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0.16</w:t>
            </w:r>
          </w:p>
        </w:tc>
        <w:tc>
          <w:tcPr>
            <w:tcW w:w="117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3</w:t>
            </w:r>
          </w:p>
        </w:tc>
        <w:tc>
          <w:tcPr>
            <w:tcW w:w="1710" w:type="dxa"/>
          </w:tcPr>
          <w:p w:rsidR="008A291D" w:rsidRPr="00F5631D" w:rsidRDefault="006F4ACD" w:rsidP="00F5631D">
            <w:pPr>
              <w:spacing w:line="276" w:lineRule="auto"/>
              <w:rPr>
                <w:rFonts w:ascii="Times New Roman" w:hAnsi="Times New Roman" w:cs="Times New Roman"/>
                <w:sz w:val="24"/>
                <w:szCs w:val="24"/>
              </w:rPr>
            </w:pPr>
            <w:r w:rsidRPr="00F5631D">
              <w:rPr>
                <w:rFonts w:ascii="Times New Roman" w:hAnsi="Times New Roman" w:cs="Times New Roman"/>
                <w:sz w:val="24"/>
                <w:szCs w:val="24"/>
              </w:rPr>
              <w:t>0.48</w:t>
            </w:r>
          </w:p>
        </w:tc>
      </w:tr>
    </w:tbl>
    <w:p w:rsidR="000E5467" w:rsidRDefault="000E5467" w:rsidP="00F5631D">
      <w:pPr>
        <w:spacing w:line="480" w:lineRule="auto"/>
        <w:rPr>
          <w:rFonts w:ascii="Times New Roman" w:hAnsi="Times New Roman" w:cs="Times New Roman"/>
          <w:sz w:val="24"/>
          <w:szCs w:val="24"/>
        </w:rPr>
      </w:pPr>
    </w:p>
    <w:p w:rsidR="00F5631D" w:rsidRDefault="00F5631D" w:rsidP="00F5631D">
      <w:pPr>
        <w:spacing w:line="480" w:lineRule="auto"/>
        <w:rPr>
          <w:rFonts w:ascii="Times New Roman" w:hAnsi="Times New Roman" w:cs="Times New Roman"/>
          <w:sz w:val="24"/>
          <w:szCs w:val="24"/>
        </w:rPr>
      </w:pPr>
    </w:p>
    <w:p w:rsidR="00F5631D" w:rsidRDefault="00F5631D" w:rsidP="00F5631D">
      <w:pPr>
        <w:spacing w:line="480" w:lineRule="auto"/>
        <w:rPr>
          <w:rFonts w:ascii="Times New Roman" w:hAnsi="Times New Roman" w:cs="Times New Roman"/>
          <w:sz w:val="24"/>
          <w:szCs w:val="24"/>
        </w:rPr>
      </w:pPr>
    </w:p>
    <w:p w:rsidR="00F5631D" w:rsidRPr="00F5631D" w:rsidRDefault="00F5631D" w:rsidP="00F5631D">
      <w:pPr>
        <w:spacing w:line="480" w:lineRule="auto"/>
        <w:rPr>
          <w:rFonts w:ascii="Times New Roman" w:hAnsi="Times New Roman" w:cs="Times New Roman"/>
          <w:sz w:val="24"/>
          <w:szCs w:val="24"/>
        </w:rPr>
      </w:pPr>
    </w:p>
    <w:tbl>
      <w:tblPr>
        <w:tblStyle w:val="TableGrid"/>
        <w:tblW w:w="0" w:type="auto"/>
        <w:tblLook w:val="0000"/>
      </w:tblPr>
      <w:tblGrid>
        <w:gridCol w:w="4585"/>
        <w:gridCol w:w="1620"/>
        <w:gridCol w:w="1170"/>
        <w:gridCol w:w="1975"/>
      </w:tblGrid>
      <w:tr w:rsidR="000E5467" w:rsidRPr="00F5631D" w:rsidTr="006C35A4">
        <w:trPr>
          <w:trHeight w:val="420"/>
        </w:trPr>
        <w:tc>
          <w:tcPr>
            <w:tcW w:w="9350" w:type="dxa"/>
            <w:gridSpan w:val="4"/>
          </w:tcPr>
          <w:p w:rsidR="000E5467" w:rsidRPr="00F5631D" w:rsidRDefault="000E5467" w:rsidP="00F5631D">
            <w:pPr>
              <w:spacing w:after="160" w:line="480" w:lineRule="auto"/>
              <w:ind w:left="-5"/>
              <w:rPr>
                <w:rFonts w:ascii="Times New Roman" w:hAnsi="Times New Roman" w:cs="Times New Roman"/>
                <w:b/>
                <w:sz w:val="24"/>
                <w:szCs w:val="24"/>
              </w:rPr>
            </w:pPr>
            <w:r w:rsidRPr="00F5631D">
              <w:rPr>
                <w:rFonts w:ascii="Times New Roman" w:hAnsi="Times New Roman" w:cs="Times New Roman"/>
                <w:b/>
                <w:sz w:val="24"/>
                <w:szCs w:val="24"/>
              </w:rPr>
              <w:lastRenderedPageBreak/>
              <w:t xml:space="preserve">                                                                                 Threats</w:t>
            </w:r>
          </w:p>
        </w:tc>
      </w:tr>
      <w:tr w:rsidR="00C766B0" w:rsidRPr="00F5631D" w:rsidTr="0084279C">
        <w:tblPrEx>
          <w:tblLook w:val="04A0"/>
        </w:tblPrEx>
        <w:tc>
          <w:tcPr>
            <w:tcW w:w="4585" w:type="dxa"/>
          </w:tcPr>
          <w:p w:rsidR="00F12714" w:rsidRPr="00F5631D" w:rsidRDefault="00F12714" w:rsidP="00F5631D">
            <w:pPr>
              <w:spacing w:line="480" w:lineRule="auto"/>
              <w:rPr>
                <w:rFonts w:ascii="Times New Roman" w:hAnsi="Times New Roman" w:cs="Times New Roman"/>
                <w:sz w:val="24"/>
                <w:szCs w:val="24"/>
              </w:rPr>
            </w:pPr>
          </w:p>
          <w:p w:rsidR="000E5467" w:rsidRPr="00F5631D" w:rsidRDefault="000E5467" w:rsidP="00F5631D">
            <w:pPr>
              <w:spacing w:line="480" w:lineRule="auto"/>
              <w:rPr>
                <w:rFonts w:ascii="Times New Roman" w:hAnsi="Times New Roman" w:cs="Times New Roman"/>
                <w:b/>
                <w:sz w:val="24"/>
                <w:szCs w:val="24"/>
              </w:rPr>
            </w:pPr>
            <w:r w:rsidRPr="00F5631D">
              <w:rPr>
                <w:rFonts w:ascii="Times New Roman" w:hAnsi="Times New Roman" w:cs="Times New Roman"/>
                <w:b/>
                <w:sz w:val="24"/>
                <w:szCs w:val="24"/>
              </w:rPr>
              <w:t>Key external factors</w:t>
            </w:r>
          </w:p>
        </w:tc>
        <w:tc>
          <w:tcPr>
            <w:tcW w:w="1620" w:type="dxa"/>
          </w:tcPr>
          <w:p w:rsidR="000E5467" w:rsidRPr="00F5631D" w:rsidRDefault="000E5467"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 xml:space="preserve">              </w:t>
            </w:r>
            <w:r w:rsidRPr="00F5631D">
              <w:rPr>
                <w:rFonts w:ascii="Times New Roman" w:hAnsi="Times New Roman" w:cs="Times New Roman"/>
                <w:b/>
                <w:sz w:val="24"/>
                <w:szCs w:val="24"/>
              </w:rPr>
              <w:t>Weigh</w:t>
            </w:r>
            <w:r w:rsidRPr="00F5631D">
              <w:rPr>
                <w:rFonts w:ascii="Times New Roman" w:hAnsi="Times New Roman" w:cs="Times New Roman"/>
                <w:sz w:val="24"/>
                <w:szCs w:val="24"/>
              </w:rPr>
              <w:t>t</w:t>
            </w:r>
          </w:p>
        </w:tc>
        <w:tc>
          <w:tcPr>
            <w:tcW w:w="1170" w:type="dxa"/>
          </w:tcPr>
          <w:p w:rsidR="000E5467" w:rsidRPr="00F5631D" w:rsidRDefault="000E5467" w:rsidP="00F5631D">
            <w:pPr>
              <w:spacing w:line="480" w:lineRule="auto"/>
              <w:rPr>
                <w:rFonts w:ascii="Times New Roman" w:hAnsi="Times New Roman" w:cs="Times New Roman"/>
                <w:b/>
                <w:sz w:val="24"/>
                <w:szCs w:val="24"/>
              </w:rPr>
            </w:pPr>
            <w:r w:rsidRPr="00F5631D">
              <w:rPr>
                <w:rFonts w:ascii="Times New Roman" w:hAnsi="Times New Roman" w:cs="Times New Roman"/>
                <w:sz w:val="24"/>
                <w:szCs w:val="24"/>
              </w:rPr>
              <w:t xml:space="preserve">  </w:t>
            </w:r>
            <w:r w:rsidRPr="00F5631D">
              <w:rPr>
                <w:rFonts w:ascii="Times New Roman" w:hAnsi="Times New Roman" w:cs="Times New Roman"/>
                <w:b/>
                <w:sz w:val="24"/>
                <w:szCs w:val="24"/>
              </w:rPr>
              <w:t xml:space="preserve">Rating                         </w:t>
            </w:r>
          </w:p>
        </w:tc>
        <w:tc>
          <w:tcPr>
            <w:tcW w:w="1975" w:type="dxa"/>
          </w:tcPr>
          <w:p w:rsidR="000E5467" w:rsidRPr="00F5631D" w:rsidRDefault="000E5467" w:rsidP="00F5631D">
            <w:pPr>
              <w:spacing w:line="480" w:lineRule="auto"/>
              <w:rPr>
                <w:rFonts w:ascii="Times New Roman" w:hAnsi="Times New Roman" w:cs="Times New Roman"/>
                <w:b/>
                <w:sz w:val="24"/>
                <w:szCs w:val="24"/>
              </w:rPr>
            </w:pPr>
            <w:r w:rsidRPr="00F5631D">
              <w:rPr>
                <w:rFonts w:ascii="Times New Roman" w:hAnsi="Times New Roman" w:cs="Times New Roman"/>
                <w:b/>
                <w:sz w:val="24"/>
                <w:szCs w:val="24"/>
              </w:rPr>
              <w:t xml:space="preserve">      Weighted score</w:t>
            </w:r>
          </w:p>
        </w:tc>
      </w:tr>
      <w:tr w:rsidR="00C766B0" w:rsidRPr="00F5631D" w:rsidTr="0084279C">
        <w:tblPrEx>
          <w:tblLook w:val="04A0"/>
        </w:tblPrEx>
        <w:tc>
          <w:tcPr>
            <w:tcW w:w="4585" w:type="dxa"/>
          </w:tcPr>
          <w:p w:rsidR="000E5467" w:rsidRPr="00F5631D" w:rsidRDefault="00651A45"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Over reliance on developing economies</w:t>
            </w:r>
          </w:p>
        </w:tc>
        <w:tc>
          <w:tcPr>
            <w:tcW w:w="1620"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0.06</w:t>
            </w:r>
          </w:p>
        </w:tc>
        <w:tc>
          <w:tcPr>
            <w:tcW w:w="1170"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1</w:t>
            </w:r>
          </w:p>
        </w:tc>
        <w:tc>
          <w:tcPr>
            <w:tcW w:w="1975"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0.06</w:t>
            </w:r>
          </w:p>
        </w:tc>
      </w:tr>
      <w:tr w:rsidR="00C766B0" w:rsidRPr="00F5631D" w:rsidTr="0084279C">
        <w:tblPrEx>
          <w:tblLook w:val="04A0"/>
        </w:tblPrEx>
        <w:tc>
          <w:tcPr>
            <w:tcW w:w="4585" w:type="dxa"/>
          </w:tcPr>
          <w:p w:rsidR="000E5467" w:rsidRPr="00F5631D" w:rsidRDefault="00651A45"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Unstable markets</w:t>
            </w:r>
          </w:p>
        </w:tc>
        <w:tc>
          <w:tcPr>
            <w:tcW w:w="1620"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0.06</w:t>
            </w:r>
          </w:p>
        </w:tc>
        <w:tc>
          <w:tcPr>
            <w:tcW w:w="1170"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2</w:t>
            </w:r>
          </w:p>
        </w:tc>
        <w:tc>
          <w:tcPr>
            <w:tcW w:w="1975"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0.12</w:t>
            </w:r>
          </w:p>
        </w:tc>
      </w:tr>
      <w:tr w:rsidR="00C766B0" w:rsidRPr="00F5631D" w:rsidTr="0084279C">
        <w:tblPrEx>
          <w:tblLook w:val="04A0"/>
        </w:tblPrEx>
        <w:tc>
          <w:tcPr>
            <w:tcW w:w="4585" w:type="dxa"/>
          </w:tcPr>
          <w:p w:rsidR="000E5467" w:rsidRPr="00F5631D" w:rsidRDefault="00651A45"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Change in technology</w:t>
            </w:r>
          </w:p>
        </w:tc>
        <w:tc>
          <w:tcPr>
            <w:tcW w:w="1620"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0.1</w:t>
            </w:r>
          </w:p>
        </w:tc>
        <w:tc>
          <w:tcPr>
            <w:tcW w:w="1170"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3</w:t>
            </w:r>
          </w:p>
        </w:tc>
        <w:tc>
          <w:tcPr>
            <w:tcW w:w="1975"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0.3</w:t>
            </w:r>
          </w:p>
        </w:tc>
      </w:tr>
      <w:tr w:rsidR="00C766B0" w:rsidRPr="00F5631D" w:rsidTr="0084279C">
        <w:tblPrEx>
          <w:tblLook w:val="04A0"/>
        </w:tblPrEx>
        <w:tc>
          <w:tcPr>
            <w:tcW w:w="4585" w:type="dxa"/>
          </w:tcPr>
          <w:p w:rsidR="000E5467" w:rsidRPr="00F5631D" w:rsidRDefault="00651A45"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Customers having low switching costs</w:t>
            </w:r>
          </w:p>
        </w:tc>
        <w:tc>
          <w:tcPr>
            <w:tcW w:w="1620"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0.07</w:t>
            </w:r>
          </w:p>
        </w:tc>
        <w:tc>
          <w:tcPr>
            <w:tcW w:w="1170"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2</w:t>
            </w:r>
          </w:p>
        </w:tc>
        <w:tc>
          <w:tcPr>
            <w:tcW w:w="1975"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0.14</w:t>
            </w:r>
          </w:p>
        </w:tc>
      </w:tr>
      <w:tr w:rsidR="00C766B0" w:rsidRPr="00F5631D" w:rsidTr="0084279C">
        <w:tblPrEx>
          <w:tblLook w:val="04A0"/>
        </w:tblPrEx>
        <w:tc>
          <w:tcPr>
            <w:tcW w:w="4585" w:type="dxa"/>
          </w:tcPr>
          <w:p w:rsidR="000E5467" w:rsidRPr="00F5631D" w:rsidRDefault="00651A45"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Rapid product development from competitors</w:t>
            </w:r>
          </w:p>
        </w:tc>
        <w:tc>
          <w:tcPr>
            <w:tcW w:w="1620"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0.1</w:t>
            </w:r>
          </w:p>
        </w:tc>
        <w:tc>
          <w:tcPr>
            <w:tcW w:w="1170"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3</w:t>
            </w:r>
          </w:p>
        </w:tc>
        <w:tc>
          <w:tcPr>
            <w:tcW w:w="1975" w:type="dxa"/>
          </w:tcPr>
          <w:p w:rsidR="000E5467"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0.3</w:t>
            </w:r>
          </w:p>
        </w:tc>
      </w:tr>
      <w:tr w:rsidR="00651A45" w:rsidRPr="00F5631D" w:rsidTr="0084279C">
        <w:tblPrEx>
          <w:tblLook w:val="04A0"/>
        </w:tblPrEx>
        <w:tc>
          <w:tcPr>
            <w:tcW w:w="4585" w:type="dxa"/>
          </w:tcPr>
          <w:p w:rsidR="00651A45" w:rsidRPr="00F5631D" w:rsidRDefault="00651A45"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Stiff competition fr</w:t>
            </w:r>
            <w:r w:rsidR="005E4FB4" w:rsidRPr="00F5631D">
              <w:rPr>
                <w:rFonts w:ascii="Times New Roman" w:hAnsi="Times New Roman" w:cs="Times New Roman"/>
                <w:sz w:val="24"/>
                <w:szCs w:val="24"/>
              </w:rPr>
              <w:t>o</w:t>
            </w:r>
            <w:r w:rsidRPr="00F5631D">
              <w:rPr>
                <w:rFonts w:ascii="Times New Roman" w:hAnsi="Times New Roman" w:cs="Times New Roman"/>
                <w:sz w:val="24"/>
                <w:szCs w:val="24"/>
              </w:rPr>
              <w:t>m Microsoft &amp; HP</w:t>
            </w:r>
          </w:p>
        </w:tc>
        <w:tc>
          <w:tcPr>
            <w:tcW w:w="1620" w:type="dxa"/>
          </w:tcPr>
          <w:p w:rsidR="00651A45"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0.1</w:t>
            </w:r>
          </w:p>
        </w:tc>
        <w:tc>
          <w:tcPr>
            <w:tcW w:w="1170" w:type="dxa"/>
          </w:tcPr>
          <w:p w:rsidR="00651A45"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3</w:t>
            </w:r>
          </w:p>
        </w:tc>
        <w:tc>
          <w:tcPr>
            <w:tcW w:w="1975" w:type="dxa"/>
          </w:tcPr>
          <w:p w:rsidR="00651A45"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0.3</w:t>
            </w:r>
          </w:p>
        </w:tc>
      </w:tr>
      <w:tr w:rsidR="00651A45" w:rsidRPr="00F5631D" w:rsidTr="0084279C">
        <w:tblPrEx>
          <w:tblLook w:val="04A0"/>
        </w:tblPrEx>
        <w:tc>
          <w:tcPr>
            <w:tcW w:w="4585" w:type="dxa"/>
          </w:tcPr>
          <w:p w:rsidR="00651A45" w:rsidRPr="00F5631D" w:rsidRDefault="00651A45"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Total</w:t>
            </w:r>
          </w:p>
        </w:tc>
        <w:tc>
          <w:tcPr>
            <w:tcW w:w="1620" w:type="dxa"/>
          </w:tcPr>
          <w:p w:rsidR="00651A45"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1.00</w:t>
            </w:r>
          </w:p>
        </w:tc>
        <w:tc>
          <w:tcPr>
            <w:tcW w:w="1170" w:type="dxa"/>
          </w:tcPr>
          <w:p w:rsidR="00651A45" w:rsidRPr="00F5631D" w:rsidRDefault="00651A45" w:rsidP="00F5631D">
            <w:pPr>
              <w:spacing w:line="480" w:lineRule="auto"/>
              <w:rPr>
                <w:rFonts w:ascii="Times New Roman" w:hAnsi="Times New Roman" w:cs="Times New Roman"/>
                <w:sz w:val="24"/>
                <w:szCs w:val="24"/>
              </w:rPr>
            </w:pPr>
          </w:p>
        </w:tc>
        <w:tc>
          <w:tcPr>
            <w:tcW w:w="1975" w:type="dxa"/>
          </w:tcPr>
          <w:p w:rsidR="00651A45" w:rsidRPr="00F5631D" w:rsidRDefault="005E4FB4" w:rsidP="00F5631D">
            <w:pPr>
              <w:spacing w:line="480" w:lineRule="auto"/>
              <w:rPr>
                <w:rFonts w:ascii="Times New Roman" w:hAnsi="Times New Roman" w:cs="Times New Roman"/>
                <w:sz w:val="24"/>
                <w:szCs w:val="24"/>
              </w:rPr>
            </w:pPr>
            <w:r w:rsidRPr="00F5631D">
              <w:rPr>
                <w:rFonts w:ascii="Times New Roman" w:hAnsi="Times New Roman" w:cs="Times New Roman"/>
                <w:sz w:val="24"/>
                <w:szCs w:val="24"/>
              </w:rPr>
              <w:t>2.29</w:t>
            </w:r>
          </w:p>
        </w:tc>
      </w:tr>
    </w:tbl>
    <w:p w:rsidR="000E5467" w:rsidRPr="00F5631D" w:rsidRDefault="000E5467" w:rsidP="00F5631D">
      <w:pPr>
        <w:spacing w:line="480" w:lineRule="auto"/>
        <w:rPr>
          <w:rFonts w:ascii="Times New Roman" w:hAnsi="Times New Roman" w:cs="Times New Roman"/>
          <w:sz w:val="24"/>
          <w:szCs w:val="24"/>
        </w:rPr>
      </w:pPr>
    </w:p>
    <w:p w:rsidR="00F5631D" w:rsidRPr="00F5631D" w:rsidRDefault="00F5631D" w:rsidP="00F5631D">
      <w:pPr>
        <w:spacing w:line="480" w:lineRule="auto"/>
        <w:ind w:firstLine="720"/>
        <w:rPr>
          <w:rFonts w:ascii="Times New Roman" w:hAnsi="Times New Roman" w:cs="Times New Roman"/>
          <w:sz w:val="24"/>
          <w:szCs w:val="24"/>
        </w:rPr>
      </w:pPr>
      <w:r w:rsidRPr="00F5631D">
        <w:rPr>
          <w:rFonts w:ascii="Times New Roman" w:hAnsi="Times New Roman" w:cs="Times New Roman"/>
          <w:sz w:val="24"/>
          <w:szCs w:val="24"/>
        </w:rPr>
        <w:t>The table above presents IBM's external audit by demonstrating its opportunities and threats. The listed opportunities and threats are then weighed according to their level of importance and the degree to which they affect the company. The notice should be taken that the weights are industry specific and are significant for they show the importance of every factor as regards the company's survival in the industry. The ratings depended on the factor that one means that the response is poor, two the response is average, 3, is above average, and four is excellent. Obtaining of the weighted score was done by multiplying the weights with the rates. The total weighted was obtained by adding up the weighted score of opportunities and threats (Freeman, 2010) and found to be 2.29. As such the business' performance is below average for it doesn't capitalize on its opportunities either does it work on mitigating threats?</w:t>
      </w:r>
    </w:p>
    <w:p w:rsidR="00F5631D" w:rsidRPr="001F6A2A" w:rsidRDefault="00F5631D" w:rsidP="001F6A2A">
      <w:pPr>
        <w:spacing w:line="480" w:lineRule="auto"/>
        <w:ind w:left="720" w:hanging="720"/>
        <w:jc w:val="center"/>
        <w:rPr>
          <w:rFonts w:ascii="Times New Roman" w:hAnsi="Times New Roman" w:cs="Times New Roman"/>
          <w:b/>
          <w:sz w:val="24"/>
          <w:szCs w:val="24"/>
        </w:rPr>
      </w:pPr>
      <w:r w:rsidRPr="001F6A2A">
        <w:rPr>
          <w:rFonts w:ascii="Times New Roman" w:hAnsi="Times New Roman" w:cs="Times New Roman"/>
          <w:b/>
          <w:sz w:val="24"/>
          <w:szCs w:val="24"/>
        </w:rPr>
        <w:lastRenderedPageBreak/>
        <w:t>References</w:t>
      </w:r>
    </w:p>
    <w:p w:rsidR="00F5631D" w:rsidRPr="00F5631D" w:rsidRDefault="00F5631D" w:rsidP="00F5631D">
      <w:pPr>
        <w:spacing w:line="480" w:lineRule="auto"/>
        <w:ind w:left="720" w:hanging="720"/>
        <w:rPr>
          <w:rFonts w:ascii="Times New Roman" w:hAnsi="Times New Roman" w:cs="Times New Roman"/>
          <w:sz w:val="24"/>
          <w:szCs w:val="24"/>
        </w:rPr>
      </w:pPr>
      <w:r w:rsidRPr="00F5631D">
        <w:rPr>
          <w:rFonts w:ascii="Times New Roman" w:hAnsi="Times New Roman" w:cs="Times New Roman"/>
          <w:sz w:val="24"/>
          <w:szCs w:val="24"/>
        </w:rPr>
        <w:t>Baines, P. (2017). Marketing. Oxford University Press.</w:t>
      </w:r>
    </w:p>
    <w:p w:rsidR="00F5631D" w:rsidRPr="00F5631D" w:rsidRDefault="00F5631D" w:rsidP="00F5631D">
      <w:pPr>
        <w:spacing w:line="480" w:lineRule="auto"/>
        <w:ind w:left="720" w:hanging="720"/>
        <w:rPr>
          <w:rFonts w:ascii="Times New Roman" w:hAnsi="Times New Roman" w:cs="Times New Roman"/>
          <w:sz w:val="24"/>
          <w:szCs w:val="24"/>
        </w:rPr>
      </w:pPr>
      <w:r w:rsidRPr="00F5631D">
        <w:rPr>
          <w:rFonts w:ascii="Times New Roman" w:hAnsi="Times New Roman" w:cs="Times New Roman"/>
          <w:sz w:val="24"/>
          <w:szCs w:val="24"/>
        </w:rPr>
        <w:t xml:space="preserve">Canada. (2015). ISO 50001 energy management systems standard certification? </w:t>
      </w:r>
      <w:proofErr w:type="gramStart"/>
      <w:r w:rsidRPr="00F5631D">
        <w:rPr>
          <w:rFonts w:ascii="Times New Roman" w:hAnsi="Times New Roman" w:cs="Times New Roman"/>
          <w:sz w:val="24"/>
          <w:szCs w:val="24"/>
        </w:rPr>
        <w:t>IBM.</w:t>
      </w:r>
      <w:proofErr w:type="gramEnd"/>
      <w:r w:rsidRPr="00F5631D">
        <w:rPr>
          <w:rFonts w:ascii="Times New Roman" w:hAnsi="Times New Roman" w:cs="Times New Roman"/>
          <w:sz w:val="24"/>
          <w:szCs w:val="24"/>
        </w:rPr>
        <w:t xml:space="preserve"> Ottawa: Natural Resources Canada.</w:t>
      </w:r>
    </w:p>
    <w:p w:rsidR="00F5631D" w:rsidRPr="00F5631D" w:rsidRDefault="00F5631D" w:rsidP="00F5631D">
      <w:pPr>
        <w:spacing w:line="480" w:lineRule="auto"/>
        <w:ind w:left="720" w:hanging="720"/>
        <w:rPr>
          <w:rFonts w:ascii="Times New Roman" w:hAnsi="Times New Roman" w:cs="Times New Roman"/>
          <w:sz w:val="24"/>
          <w:szCs w:val="24"/>
        </w:rPr>
      </w:pPr>
      <w:r w:rsidRPr="00F5631D">
        <w:rPr>
          <w:rFonts w:ascii="Times New Roman" w:hAnsi="Times New Roman" w:cs="Times New Roman"/>
          <w:sz w:val="24"/>
          <w:szCs w:val="24"/>
        </w:rPr>
        <w:t>Dobbs, M. (2014). Guidelines for applying Porter's five forces framework: a set of industry analysis templates. Competitiveness Review, 24(1), 32-45.</w:t>
      </w:r>
    </w:p>
    <w:p w:rsidR="00F5631D" w:rsidRPr="00F5631D" w:rsidRDefault="00F5631D" w:rsidP="00F5631D">
      <w:pPr>
        <w:spacing w:line="480" w:lineRule="auto"/>
        <w:ind w:left="720" w:hanging="720"/>
        <w:rPr>
          <w:rFonts w:ascii="Times New Roman" w:hAnsi="Times New Roman" w:cs="Times New Roman"/>
          <w:sz w:val="24"/>
          <w:szCs w:val="24"/>
        </w:rPr>
      </w:pPr>
      <w:r w:rsidRPr="00F5631D">
        <w:rPr>
          <w:rFonts w:ascii="Times New Roman" w:hAnsi="Times New Roman" w:cs="Times New Roman"/>
          <w:sz w:val="24"/>
          <w:szCs w:val="24"/>
        </w:rPr>
        <w:t>Ekpe, E. O., Eneh, S. I., &amp; Inyang, B. J. (2015). Leveraging Organizational Performance through Effective Mission Statement. International Business Research, 8(9), 135.</w:t>
      </w:r>
    </w:p>
    <w:p w:rsidR="00C766B0" w:rsidRPr="00F5631D" w:rsidRDefault="00F5631D" w:rsidP="00F5631D">
      <w:pPr>
        <w:spacing w:line="480" w:lineRule="auto"/>
        <w:ind w:left="720" w:hanging="720"/>
        <w:rPr>
          <w:rFonts w:ascii="Times New Roman" w:hAnsi="Times New Roman" w:cs="Times New Roman"/>
          <w:sz w:val="24"/>
          <w:szCs w:val="24"/>
        </w:rPr>
      </w:pPr>
      <w:r w:rsidRPr="00F5631D">
        <w:rPr>
          <w:rFonts w:ascii="Times New Roman" w:hAnsi="Times New Roman" w:cs="Times New Roman"/>
          <w:sz w:val="24"/>
          <w:szCs w:val="24"/>
        </w:rPr>
        <w:t>Kanter, R. M. (2010). Supercorp: How Vanguard companies create innovation, profits, growth, and social good. London: Profile.</w:t>
      </w:r>
    </w:p>
    <w:sectPr w:rsidR="00C766B0" w:rsidRPr="00F5631D" w:rsidSect="005132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2BB3" w:rsidRDefault="000C2BB3" w:rsidP="00513211">
      <w:pPr>
        <w:spacing w:after="0" w:line="240" w:lineRule="auto"/>
      </w:pPr>
      <w:r>
        <w:separator/>
      </w:r>
    </w:p>
  </w:endnote>
  <w:endnote w:type="continuationSeparator" w:id="0">
    <w:p w:rsidR="000C2BB3" w:rsidRDefault="000C2BB3" w:rsidP="005132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2BB3" w:rsidRDefault="000C2BB3" w:rsidP="00513211">
      <w:pPr>
        <w:spacing w:after="0" w:line="240" w:lineRule="auto"/>
      </w:pPr>
      <w:r>
        <w:separator/>
      </w:r>
    </w:p>
  </w:footnote>
  <w:footnote w:type="continuationSeparator" w:id="0">
    <w:p w:rsidR="000C2BB3" w:rsidRDefault="000C2BB3" w:rsidP="005132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84565124"/>
      <w:docPartObj>
        <w:docPartGallery w:val="Page Numbers (Top of Page)"/>
        <w:docPartUnique/>
      </w:docPartObj>
    </w:sdtPr>
    <w:sdtEndPr>
      <w:rPr>
        <w:noProof/>
      </w:rPr>
    </w:sdtEndPr>
    <w:sdtContent>
      <w:p w:rsidR="00513211" w:rsidRPr="00513211" w:rsidRDefault="00513211">
        <w:pPr>
          <w:pStyle w:val="Header"/>
          <w:jc w:val="right"/>
          <w:rPr>
            <w:rFonts w:ascii="Times New Roman" w:hAnsi="Times New Roman" w:cs="Times New Roman"/>
            <w:sz w:val="24"/>
            <w:szCs w:val="24"/>
          </w:rPr>
        </w:pPr>
        <w:r w:rsidRPr="00513211">
          <w:rPr>
            <w:rFonts w:ascii="Times New Roman" w:hAnsi="Times New Roman" w:cs="Times New Roman"/>
            <w:sz w:val="24"/>
            <w:szCs w:val="24"/>
          </w:rPr>
          <w:t xml:space="preserve">STRATEGIC MANAGEMENT </w:t>
        </w:r>
        <w:r>
          <w:rPr>
            <w:rFonts w:ascii="Times New Roman" w:hAnsi="Times New Roman" w:cs="Times New Roman"/>
            <w:sz w:val="24"/>
            <w:szCs w:val="24"/>
          </w:rPr>
          <w:t xml:space="preserve">                                                                                                     </w:t>
        </w:r>
        <w:r w:rsidR="00F93FA8" w:rsidRPr="00513211">
          <w:rPr>
            <w:rFonts w:ascii="Times New Roman" w:hAnsi="Times New Roman" w:cs="Times New Roman"/>
            <w:sz w:val="24"/>
            <w:szCs w:val="24"/>
          </w:rPr>
          <w:fldChar w:fldCharType="begin"/>
        </w:r>
        <w:r w:rsidRPr="00513211">
          <w:rPr>
            <w:rFonts w:ascii="Times New Roman" w:hAnsi="Times New Roman" w:cs="Times New Roman"/>
            <w:sz w:val="24"/>
            <w:szCs w:val="24"/>
          </w:rPr>
          <w:instrText xml:space="preserve"> PAGE   \* MERGEFORMAT </w:instrText>
        </w:r>
        <w:r w:rsidR="00F93FA8" w:rsidRPr="00513211">
          <w:rPr>
            <w:rFonts w:ascii="Times New Roman" w:hAnsi="Times New Roman" w:cs="Times New Roman"/>
            <w:sz w:val="24"/>
            <w:szCs w:val="24"/>
          </w:rPr>
          <w:fldChar w:fldCharType="separate"/>
        </w:r>
        <w:r w:rsidR="00CB49AE">
          <w:rPr>
            <w:rFonts w:ascii="Times New Roman" w:hAnsi="Times New Roman" w:cs="Times New Roman"/>
            <w:noProof/>
            <w:sz w:val="24"/>
            <w:szCs w:val="24"/>
          </w:rPr>
          <w:t>2</w:t>
        </w:r>
        <w:r w:rsidR="00F93FA8" w:rsidRPr="00513211">
          <w:rPr>
            <w:rFonts w:ascii="Times New Roman" w:hAnsi="Times New Roman" w:cs="Times New Roman"/>
            <w:noProof/>
            <w:sz w:val="24"/>
            <w:szCs w:val="24"/>
          </w:rPr>
          <w:fldChar w:fldCharType="end"/>
        </w:r>
      </w:p>
    </w:sdtContent>
  </w:sdt>
  <w:p w:rsidR="00513211" w:rsidRDefault="0051321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7545288"/>
      <w:docPartObj>
        <w:docPartGallery w:val="Page Numbers (Top of Page)"/>
        <w:docPartUnique/>
      </w:docPartObj>
    </w:sdtPr>
    <w:sdtEndPr>
      <w:rPr>
        <w:noProof/>
      </w:rPr>
    </w:sdtEndPr>
    <w:sdtContent>
      <w:p w:rsidR="00513211" w:rsidRDefault="00513211" w:rsidP="00513211">
        <w:pPr>
          <w:pStyle w:val="Header"/>
        </w:pPr>
        <w:r>
          <w:rPr>
            <w:rFonts w:ascii="Times New Roman" w:hAnsi="Times New Roman" w:cs="Times New Roman"/>
            <w:sz w:val="24"/>
            <w:szCs w:val="24"/>
          </w:rPr>
          <w:t>Running head</w:t>
        </w:r>
        <w:r w:rsidRPr="00513211">
          <w:rPr>
            <w:rFonts w:ascii="Times New Roman" w:hAnsi="Times New Roman" w:cs="Times New Roman"/>
            <w:sz w:val="24"/>
            <w:szCs w:val="24"/>
          </w:rPr>
          <w:t>: STRATEGIC MANAGEMENT</w:t>
        </w:r>
        <w:r>
          <w:t xml:space="preserve"> </w:t>
        </w:r>
      </w:p>
    </w:sdtContent>
  </w:sdt>
  <w:p w:rsidR="00513211" w:rsidRDefault="0051321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145787"/>
    <w:multiLevelType w:val="hybridMultilevel"/>
    <w:tmpl w:val="F1D4F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4F6E97"/>
    <w:multiLevelType w:val="hybridMultilevel"/>
    <w:tmpl w:val="BAA25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60B34"/>
    <w:rsid w:val="0001193E"/>
    <w:rsid w:val="000543A4"/>
    <w:rsid w:val="00086074"/>
    <w:rsid w:val="000A76EF"/>
    <w:rsid w:val="000C2BB3"/>
    <w:rsid w:val="000D1FCE"/>
    <w:rsid w:val="000E5467"/>
    <w:rsid w:val="00153FD3"/>
    <w:rsid w:val="0019645C"/>
    <w:rsid w:val="001A56C8"/>
    <w:rsid w:val="001A7EFD"/>
    <w:rsid w:val="001B190B"/>
    <w:rsid w:val="001F6A2A"/>
    <w:rsid w:val="00247ADE"/>
    <w:rsid w:val="0028343E"/>
    <w:rsid w:val="002B51FD"/>
    <w:rsid w:val="002C658F"/>
    <w:rsid w:val="002E20DF"/>
    <w:rsid w:val="002F6B5D"/>
    <w:rsid w:val="00336F97"/>
    <w:rsid w:val="003C72F3"/>
    <w:rsid w:val="003E7574"/>
    <w:rsid w:val="003F7E46"/>
    <w:rsid w:val="00400239"/>
    <w:rsid w:val="00401B24"/>
    <w:rsid w:val="004476CE"/>
    <w:rsid w:val="004529DC"/>
    <w:rsid w:val="00472380"/>
    <w:rsid w:val="00485D5C"/>
    <w:rsid w:val="00486D94"/>
    <w:rsid w:val="004A4136"/>
    <w:rsid w:val="004A7CA4"/>
    <w:rsid w:val="004B1D45"/>
    <w:rsid w:val="00513211"/>
    <w:rsid w:val="00567063"/>
    <w:rsid w:val="00594467"/>
    <w:rsid w:val="005B50A5"/>
    <w:rsid w:val="005B58D7"/>
    <w:rsid w:val="005E2CF7"/>
    <w:rsid w:val="005E4FB4"/>
    <w:rsid w:val="0060287C"/>
    <w:rsid w:val="006469A5"/>
    <w:rsid w:val="00651A45"/>
    <w:rsid w:val="00654111"/>
    <w:rsid w:val="006874A7"/>
    <w:rsid w:val="00696EC6"/>
    <w:rsid w:val="006A2D80"/>
    <w:rsid w:val="006C627C"/>
    <w:rsid w:val="006F4ACD"/>
    <w:rsid w:val="00750F4B"/>
    <w:rsid w:val="00756927"/>
    <w:rsid w:val="00760B34"/>
    <w:rsid w:val="00782289"/>
    <w:rsid w:val="007B5FDD"/>
    <w:rsid w:val="007E3CFA"/>
    <w:rsid w:val="0084279C"/>
    <w:rsid w:val="00842B49"/>
    <w:rsid w:val="008941CF"/>
    <w:rsid w:val="00897AAC"/>
    <w:rsid w:val="008A291D"/>
    <w:rsid w:val="00903176"/>
    <w:rsid w:val="00936EC9"/>
    <w:rsid w:val="0094430C"/>
    <w:rsid w:val="009D70AB"/>
    <w:rsid w:val="009E7B86"/>
    <w:rsid w:val="009F3C03"/>
    <w:rsid w:val="00A26A45"/>
    <w:rsid w:val="00A27CBB"/>
    <w:rsid w:val="00A325F9"/>
    <w:rsid w:val="00AB0623"/>
    <w:rsid w:val="00AC09D0"/>
    <w:rsid w:val="00AF12FF"/>
    <w:rsid w:val="00B61817"/>
    <w:rsid w:val="00BE1A66"/>
    <w:rsid w:val="00C3212F"/>
    <w:rsid w:val="00C61694"/>
    <w:rsid w:val="00C745CD"/>
    <w:rsid w:val="00C75713"/>
    <w:rsid w:val="00C766B0"/>
    <w:rsid w:val="00CB49AE"/>
    <w:rsid w:val="00CC692A"/>
    <w:rsid w:val="00D33224"/>
    <w:rsid w:val="00D50C1A"/>
    <w:rsid w:val="00D87E72"/>
    <w:rsid w:val="00D95876"/>
    <w:rsid w:val="00DA25F2"/>
    <w:rsid w:val="00DC51F1"/>
    <w:rsid w:val="00DC77B5"/>
    <w:rsid w:val="00DD2F09"/>
    <w:rsid w:val="00E249D2"/>
    <w:rsid w:val="00E418E1"/>
    <w:rsid w:val="00E52FC3"/>
    <w:rsid w:val="00E909F6"/>
    <w:rsid w:val="00EA23D9"/>
    <w:rsid w:val="00EB0404"/>
    <w:rsid w:val="00EB174B"/>
    <w:rsid w:val="00F12714"/>
    <w:rsid w:val="00F14D46"/>
    <w:rsid w:val="00F17CD6"/>
    <w:rsid w:val="00F31BBB"/>
    <w:rsid w:val="00F46DBD"/>
    <w:rsid w:val="00F5631D"/>
    <w:rsid w:val="00F57B40"/>
    <w:rsid w:val="00F93FA8"/>
    <w:rsid w:val="00FA6AC2"/>
    <w:rsid w:val="00FE22BF"/>
    <w:rsid w:val="00FE770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B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0B34"/>
    <w:pPr>
      <w:ind w:left="720"/>
      <w:contextualSpacing/>
    </w:pPr>
  </w:style>
  <w:style w:type="character" w:styleId="Emphasis">
    <w:name w:val="Emphasis"/>
    <w:basedOn w:val="DefaultParagraphFont"/>
    <w:uiPriority w:val="20"/>
    <w:qFormat/>
    <w:rsid w:val="00760B34"/>
    <w:rPr>
      <w:i/>
      <w:iCs/>
    </w:rPr>
  </w:style>
  <w:style w:type="table" w:styleId="TableGrid">
    <w:name w:val="Table Grid"/>
    <w:basedOn w:val="TableNormal"/>
    <w:uiPriority w:val="39"/>
    <w:rsid w:val="008A29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13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211"/>
  </w:style>
  <w:style w:type="paragraph" w:styleId="Footer">
    <w:name w:val="footer"/>
    <w:basedOn w:val="Normal"/>
    <w:link w:val="FooterChar"/>
    <w:uiPriority w:val="99"/>
    <w:unhideWhenUsed/>
    <w:rsid w:val="00513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21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1642</Words>
  <Characters>9363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2018-03-18T14:12:00Z</dcterms:created>
  <dcterms:modified xsi:type="dcterms:W3CDTF">2018-03-18T14:13:00Z</dcterms:modified>
</cp:coreProperties>
</file>